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230C" w14:textId="77777777" w:rsidR="00A52E66" w:rsidRPr="00A52E66" w:rsidRDefault="00A52E66" w:rsidP="00A52E66">
      <w:pPr>
        <w:rPr>
          <w:b/>
          <w:bCs/>
        </w:rPr>
      </w:pPr>
      <w:r w:rsidRPr="00A52E66">
        <w:rPr>
          <w:b/>
          <w:bCs/>
        </w:rPr>
        <w:t xml:space="preserve">Jugoslawienkrieg </w:t>
      </w:r>
    </w:p>
    <w:p w14:paraId="167B6FA2" w14:textId="77777777" w:rsidR="00A52E66" w:rsidRPr="00A52E66" w:rsidRDefault="00A52E66" w:rsidP="00A52E66">
      <w:pPr>
        <w:rPr>
          <w:b/>
          <w:bCs/>
        </w:rPr>
      </w:pPr>
      <w:r w:rsidRPr="00A52E66">
        <w:rPr>
          <w:b/>
          <w:bCs/>
        </w:rPr>
        <w:t xml:space="preserve">Kriege auf dem Balkan in den 1990er Jahren </w:t>
      </w:r>
    </w:p>
    <w:p w14:paraId="5AD0A260" w14:textId="77777777" w:rsidR="00A52E66" w:rsidRPr="00A52E66" w:rsidRDefault="00A52E66" w:rsidP="00A52E66">
      <w:r w:rsidRPr="00A52E66">
        <w:t>Gegen Ende des Kalten Krieges zeichnete sich Ende der 1980er Jahre nicht nur der Zerfall der Sowjetunion ab. Auch im Vielvölkerstaat Jugoslawien bahnten sich ähnliche Auflösungsbestrebungen an. Die damalige „Sozialistische Föderative Volksrepublik Jugoslawien“ setzte sich aus sechs Teilrepubliken zusammen: Serbien, Kroatien, Bosnien-Herzegowina, Mazedonien, Slowenien und Montenegro. Dabei war Serbien die größte unter den Teilrepubliken und hatte eine historisch gewachsene Vormachtstellung inne. Allerdings lebten nur 60 Prozent der Serben auch tatsächlich in der Teilrepublik Serbien; die restlichen Serben waren in anderen Teilrepubliken ansässig, vor allem in Bosnien und Kroatien, weshalb gerade diese Regionen zu den hauptsächlichen Kriegsschauplätzen zählen sollten.</w:t>
      </w:r>
    </w:p>
    <w:p w14:paraId="10F21F69" w14:textId="77777777" w:rsidR="00A52E66" w:rsidRPr="00A52E66" w:rsidRDefault="00A52E66" w:rsidP="00A52E66">
      <w:r w:rsidRPr="00A52E66">
        <w:t>Nachdem im Zuge des Slowenien-Kriegs bereits deutlich wurde, dass ein Erhalt Jugoslawiens nicht möglich war, strebte der damalige Präsident Slobodan Milosevic fortan die Schaffung eines „Großserbiens” durch den Anschluss der mehrheitlich serbisch besiedelten Gebiete an Serbien an. Um seine Ziele zu erreichen war ihm und seinen Mitstreitern jedes Mittel recht. In den von Serben eroberten Territorien hatten „ethnische Säuberungen“ bereits ab 1990/91 eingesetzt. Der Begriff wird seither insbesondere mit den Gräueltaten und Verbrechen der Jugoslawienkriege assoziiert. Um einen „großserbischen” Staat errichten zu können, sollten die Bosniaken und Kroaten aus jenen Teilen Bosniens und Kroatiens verschwinden, in denen viele Serben lebten. So kam es Anfang der 1990er Jahre zum Kroatienkrieg und Bosnienkrieg. Aber auch die Kroaten und Bosnier ihrerseits gingen ähnlich grausam vor in ihren Bestrebungen, die anderen Ethnien auszulöschen. Ende der 1990er Jahre kam der Kosovokrieg hinzu, im Zuge dessen die dort lebenden Albaner durch das serbische Regime aus dem Gebiet ausgelöscht werden sollten.</w:t>
      </w:r>
    </w:p>
    <w:p w14:paraId="33ABAD27" w14:textId="77777777" w:rsidR="00A52E66" w:rsidRPr="00A52E66" w:rsidRDefault="00A52E66" w:rsidP="00A52E66">
      <w:r w:rsidRPr="00A52E66">
        <w:t>Milosevic gilt gemeinhin als Drahtzieher in den Jugoslawienkriegen. Er hatte einen großen Anteil der Gräueltaten und Menschenrechtsverletzungen zu verantworten, weshalb er 1999 auch als Kriegsverbrecher vor dem Kriegsverbrechertribunal in Den Haag angeklagt wurde, ebenso wie weitere damalige Machthaber und Generäle Kroatiens und Bosniens wie etwa Radovan Karadzic und Ratko Mladic, damaliger Machthaber und Militärchef der bosnischen Serben oder der kroatische General Ante Gotovina, der wegen Kriegsverbrechen gegen die serbische Bevölkerung in Kroatien angeklagt wurde.</w:t>
      </w:r>
    </w:p>
    <w:p w14:paraId="5C1E78DF" w14:textId="77777777" w:rsidR="00A52E66" w:rsidRPr="00A52E66" w:rsidRDefault="00A52E66" w:rsidP="00A52E66">
      <w:r w:rsidRPr="00A52E66">
        <w:t xml:space="preserve">Durch schlagkräftige – allerdings bis heute völkerrechtlich umstrittene – Kampfeinsätze der NATO konnten die Kriege auf dem Balkan im Jahr 1999 schließlich beendet werden. Zur Kontrolle und Stabilisierung der Region blieben über Jahre hinweg NATO-Friedenstruppen und Schutztruppen in der Region. Im Kosovo sind die KFOR-Truppen der NATO bis heute vor Ort. Auch was einen zukünftigen Beitritt Serbiens und Kosovos in </w:t>
      </w:r>
      <w:r w:rsidRPr="00A52E66">
        <w:lastRenderedPageBreak/>
        <w:t>die EU anbelangt, ist dieser abhängig von einer Normalisierung der Beziehungen der beiden Länder. Bis heute gibt es noch Spannungen, die vollends überwunden werden müssen.</w:t>
      </w:r>
    </w:p>
    <w:p w14:paraId="180FFCB3" w14:textId="77777777" w:rsidR="00A52E66" w:rsidRPr="00A52E66" w:rsidRDefault="00A52E66" w:rsidP="00A52E66">
      <w:r w:rsidRPr="00A52E66">
        <w:t> </w:t>
      </w:r>
    </w:p>
    <w:p w14:paraId="70A9046B" w14:textId="77777777" w:rsidR="00A52E66" w:rsidRDefault="00A52E66"/>
    <w:sectPr w:rsidR="00A52E6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E5C44"/>
    <w:multiLevelType w:val="multilevel"/>
    <w:tmpl w:val="D01C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0D7894"/>
    <w:multiLevelType w:val="multilevel"/>
    <w:tmpl w:val="2872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299780">
    <w:abstractNumId w:val="0"/>
  </w:num>
  <w:num w:numId="2" w16cid:durableId="1772048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66"/>
    <w:rsid w:val="00A52E66"/>
    <w:rsid w:val="00DC2D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7A07"/>
  <w15:chartTrackingRefBased/>
  <w15:docId w15:val="{D79DE8B8-5E8B-46FA-9D2A-302B3315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52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52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52E6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52E6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52E6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52E6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52E6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52E6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52E6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52E6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52E6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52E6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52E6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52E6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52E6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52E6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52E6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52E66"/>
    <w:rPr>
      <w:rFonts w:eastAsiaTheme="majorEastAsia" w:cstheme="majorBidi"/>
      <w:color w:val="272727" w:themeColor="text1" w:themeTint="D8"/>
    </w:rPr>
  </w:style>
  <w:style w:type="paragraph" w:styleId="Titel">
    <w:name w:val="Title"/>
    <w:basedOn w:val="Standard"/>
    <w:next w:val="Standard"/>
    <w:link w:val="TitelZchn"/>
    <w:uiPriority w:val="10"/>
    <w:qFormat/>
    <w:rsid w:val="00A52E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52E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52E6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52E6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52E6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52E66"/>
    <w:rPr>
      <w:i/>
      <w:iCs/>
      <w:color w:val="404040" w:themeColor="text1" w:themeTint="BF"/>
    </w:rPr>
  </w:style>
  <w:style w:type="paragraph" w:styleId="Listenabsatz">
    <w:name w:val="List Paragraph"/>
    <w:basedOn w:val="Standard"/>
    <w:uiPriority w:val="34"/>
    <w:qFormat/>
    <w:rsid w:val="00A52E66"/>
    <w:pPr>
      <w:ind w:left="720"/>
      <w:contextualSpacing/>
    </w:pPr>
  </w:style>
  <w:style w:type="character" w:styleId="IntensiveHervorhebung">
    <w:name w:val="Intense Emphasis"/>
    <w:basedOn w:val="Absatz-Standardschriftart"/>
    <w:uiPriority w:val="21"/>
    <w:qFormat/>
    <w:rsid w:val="00A52E66"/>
    <w:rPr>
      <w:i/>
      <w:iCs/>
      <w:color w:val="0F4761" w:themeColor="accent1" w:themeShade="BF"/>
    </w:rPr>
  </w:style>
  <w:style w:type="paragraph" w:styleId="IntensivesZitat">
    <w:name w:val="Intense Quote"/>
    <w:basedOn w:val="Standard"/>
    <w:next w:val="Standard"/>
    <w:link w:val="IntensivesZitatZchn"/>
    <w:uiPriority w:val="30"/>
    <w:qFormat/>
    <w:rsid w:val="00A52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52E66"/>
    <w:rPr>
      <w:i/>
      <w:iCs/>
      <w:color w:val="0F4761" w:themeColor="accent1" w:themeShade="BF"/>
    </w:rPr>
  </w:style>
  <w:style w:type="character" w:styleId="IntensiverVerweis">
    <w:name w:val="Intense Reference"/>
    <w:basedOn w:val="Absatz-Standardschriftart"/>
    <w:uiPriority w:val="32"/>
    <w:qFormat/>
    <w:rsid w:val="00A52E66"/>
    <w:rPr>
      <w:b/>
      <w:bCs/>
      <w:smallCaps/>
      <w:color w:val="0F4761" w:themeColor="accent1" w:themeShade="BF"/>
      <w:spacing w:val="5"/>
    </w:rPr>
  </w:style>
  <w:style w:type="character" w:styleId="Hyperlink">
    <w:name w:val="Hyperlink"/>
    <w:basedOn w:val="Absatz-Standardschriftart"/>
    <w:uiPriority w:val="99"/>
    <w:unhideWhenUsed/>
    <w:rsid w:val="00A52E66"/>
    <w:rPr>
      <w:color w:val="467886" w:themeColor="hyperlink"/>
      <w:u w:val="single"/>
    </w:rPr>
  </w:style>
  <w:style w:type="character" w:styleId="NichtaufgelsteErwhnung">
    <w:name w:val="Unresolved Mention"/>
    <w:basedOn w:val="Absatz-Standardschriftart"/>
    <w:uiPriority w:val="99"/>
    <w:semiHidden/>
    <w:unhideWhenUsed/>
    <w:rsid w:val="00A52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2680</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Bühler</dc:creator>
  <cp:keywords/>
  <dc:description/>
  <cp:lastModifiedBy>Nora Bühler</cp:lastModifiedBy>
  <cp:revision>2</cp:revision>
  <dcterms:created xsi:type="dcterms:W3CDTF">2026-07-31T14:16:00Z</dcterms:created>
  <dcterms:modified xsi:type="dcterms:W3CDTF">2026-07-31T14:16:00Z</dcterms:modified>
</cp:coreProperties>
</file>